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EB2E8" w14:textId="77777777" w:rsidR="006F7079" w:rsidRPr="006F7079" w:rsidRDefault="006F7079" w:rsidP="006F7079">
      <w:pPr>
        <w:spacing w:before="100" w:beforeAutospacing="1" w:after="210" w:line="264" w:lineRule="atLeast"/>
        <w:outlineLvl w:val="0"/>
        <w:rPr>
          <w:rFonts w:ascii="Catamaran" w:eastAsia="Times New Roman" w:hAnsi="Catamaran" w:cs="Helvetica"/>
          <w:color w:val="666666"/>
          <w:kern w:val="36"/>
          <w:sz w:val="72"/>
          <w:szCs w:val="72"/>
          <w:lang w:val="en-US" w:eastAsia="it-IT"/>
        </w:rPr>
      </w:pPr>
      <w:r w:rsidRPr="006F7079">
        <w:rPr>
          <w:rFonts w:ascii="Catamaran" w:eastAsia="Times New Roman" w:hAnsi="Catamaran" w:cs="Helvetica"/>
          <w:color w:val="666666"/>
          <w:kern w:val="36"/>
          <w:sz w:val="72"/>
          <w:szCs w:val="72"/>
          <w:lang w:val="en-US" w:eastAsia="it-IT"/>
        </w:rPr>
        <w:t xml:space="preserve">Termini di </w:t>
      </w:r>
      <w:proofErr w:type="spellStart"/>
      <w:r w:rsidRPr="006F7079">
        <w:rPr>
          <w:rFonts w:ascii="Catamaran" w:eastAsia="Times New Roman" w:hAnsi="Catamaran" w:cs="Helvetica"/>
          <w:color w:val="666666"/>
          <w:kern w:val="36"/>
          <w:sz w:val="72"/>
          <w:szCs w:val="72"/>
          <w:lang w:val="en-US" w:eastAsia="it-IT"/>
        </w:rPr>
        <w:t>licenza</w:t>
      </w:r>
      <w:proofErr w:type="spellEnd"/>
    </w:p>
    <w:p w14:paraId="6D926E1B" w14:textId="77777777" w:rsidR="006F7079" w:rsidRPr="006F7079" w:rsidRDefault="006F7079" w:rsidP="006F7079">
      <w:pPr>
        <w:spacing w:before="100" w:beforeAutospacing="1" w:after="210" w:line="264" w:lineRule="atLeast"/>
        <w:outlineLvl w:val="0"/>
        <w:rPr>
          <w:rFonts w:ascii="Catamaran" w:eastAsia="Times New Roman" w:hAnsi="Catamaran" w:cs="Helvetica"/>
          <w:color w:val="666666"/>
          <w:kern w:val="36"/>
          <w:sz w:val="72"/>
          <w:szCs w:val="72"/>
          <w:lang w:val="en-US" w:eastAsia="it-IT"/>
        </w:rPr>
      </w:pPr>
      <w:r w:rsidRPr="006F7079">
        <w:rPr>
          <w:rFonts w:ascii="Catamaran" w:eastAsia="Times New Roman" w:hAnsi="Catamaran" w:cs="Helvetica"/>
          <w:color w:val="666666"/>
          <w:kern w:val="36"/>
          <w:sz w:val="72"/>
          <w:szCs w:val="72"/>
          <w:lang w:val="en-US" w:eastAsia="it-IT"/>
        </w:rPr>
        <w:t xml:space="preserve">CONDIZIONI DI LICENZA </w:t>
      </w:r>
    </w:p>
    <w:p w14:paraId="2596FD84" w14:textId="77777777" w:rsidR="006F7079" w:rsidRPr="006F7079" w:rsidRDefault="006F7079" w:rsidP="006F7079">
      <w:pPr>
        <w:spacing w:before="204" w:after="204" w:line="390" w:lineRule="atLeast"/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</w:pPr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Le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presenti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condizioni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di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licenza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costituiscono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proofErr w:type="gram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il</w:t>
      </w:r>
      <w:proofErr w:type="spellEnd"/>
      <w:proofErr w:type="gram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contratto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tra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il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Provider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dell’app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e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l’utente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.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Leggerle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con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attenzione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. Le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condizioni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sono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relative al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componente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aggiuntivo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, al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connettore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o ad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altre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applicazioni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software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scaricate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da Office Store o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acquisite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tramite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le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impostazioni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di </w:t>
      </w:r>
      <w:proofErr w:type="gram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un</w:t>
      </w:r>
      <w:proofErr w:type="gram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prodotto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Office (“App”), a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meno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che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l’App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non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venga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fornita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con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condizioni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separate (“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Licenza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di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terze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parti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”). In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questo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caso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,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si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applicano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le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condizioni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proofErr w:type="gram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della</w:t>
      </w:r>
      <w:proofErr w:type="spellEnd"/>
      <w:proofErr w:type="gram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Licenza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di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terze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parti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. </w:t>
      </w:r>
      <w:proofErr w:type="gram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Il</w:t>
      </w:r>
      <w:proofErr w:type="gram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presente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contratto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si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applica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inoltre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a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qualsiasi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ag</w:t>
      </w:r>
      <w:bookmarkStart w:id="0" w:name="_GoBack"/>
      <w:bookmarkEnd w:id="0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giornamento o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integrazione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dell’App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, a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meno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che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tali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aggiornamenti o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integrazioni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non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siano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forniti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con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altre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condizioni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specifiche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. In </w:t>
      </w:r>
      <w:proofErr w:type="spellStart"/>
      <w:proofErr w:type="gram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tal</w:t>
      </w:r>
      <w:proofErr w:type="spellEnd"/>
      <w:proofErr w:type="gram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caso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,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si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applicano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queste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ultime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.</w:t>
      </w:r>
    </w:p>
    <w:p w14:paraId="2C888699" w14:textId="77777777" w:rsidR="006F7079" w:rsidRPr="006F7079" w:rsidRDefault="006F7079" w:rsidP="006F7079">
      <w:pPr>
        <w:spacing w:before="204" w:after="204" w:line="390" w:lineRule="atLeast"/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</w:pPr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IL DOWNLOAD, L’INSTALLAZIONE O L’USO DELL’APP O IL TENTATIVO DI ESEGUIRE UNA O PIÙ DI TALI OPERAZIONI, COSTITUISCONO ACCETTAZIONE DELLE PRESENTI CONDIZIONI DA PARTE DELL’UTENTE. CHI NON INTENDESSE ACCETTARE LE CONDIZIONI NON È AUTORIZZATO A (E </w:t>
      </w:r>
      <w:proofErr w:type="gram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NON DEVE</w:t>
      </w:r>
      <w:proofErr w:type="gram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) SCARICARE O USARE L’APPLICAZIONE.</w:t>
      </w:r>
    </w:p>
    <w:p w14:paraId="0CA066AA" w14:textId="77777777" w:rsidR="006F7079" w:rsidRPr="006F7079" w:rsidRDefault="006F7079" w:rsidP="006F7079">
      <w:pPr>
        <w:spacing w:before="204" w:after="204" w:line="390" w:lineRule="atLeast"/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</w:pP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Fatto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salvo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quanto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sopra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menzionato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, </w:t>
      </w:r>
      <w:proofErr w:type="gram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se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l’App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consente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l’accesso</w:t>
      </w:r>
      <w:proofErr w:type="spellEnd"/>
      <w:proofErr w:type="gram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a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uno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o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più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servizi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basati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su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Internet,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l’uso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di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tali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servizi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sarà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soggetto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alle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condizioni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per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l’uso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fornite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separatamente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.</w:t>
      </w:r>
    </w:p>
    <w:p w14:paraId="008F3B63" w14:textId="77777777" w:rsidR="006F7079" w:rsidRPr="006F7079" w:rsidRDefault="006F7079" w:rsidP="006F7079">
      <w:pPr>
        <w:spacing w:before="204" w:after="204" w:line="390" w:lineRule="atLeast"/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</w:pPr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Ai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fini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gram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del</w:t>
      </w:r>
      <w:proofErr w:type="gram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presente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contratto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, per “Provider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dell’app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”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si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intende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il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soggetto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che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concede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l’app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in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licenza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all’utente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, come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indicato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in Office Store o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nella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descrizione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dell’App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. Se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l’App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viene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concessa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in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licenza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da Microsoft, </w:t>
      </w:r>
      <w:proofErr w:type="spellStart"/>
      <w:proofErr w:type="gram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il</w:t>
      </w:r>
      <w:proofErr w:type="spellEnd"/>
      <w:proofErr w:type="gram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Provider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dell’app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è Microsoft (o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una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delle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sue affiliate, a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seconda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del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luogo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di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residenza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dell’utente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).</w:t>
      </w:r>
    </w:p>
    <w:p w14:paraId="11E5FE37" w14:textId="77777777" w:rsidR="006F7079" w:rsidRPr="006F7079" w:rsidRDefault="006F7079" w:rsidP="006F7079">
      <w:pPr>
        <w:spacing w:before="204" w:after="204" w:line="390" w:lineRule="atLeast"/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</w:pP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Qualora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l’utente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rispetti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le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presenti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condizioni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di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licenza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,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disporrà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dei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diritti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elencati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di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seguito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.</w:t>
      </w:r>
    </w:p>
    <w:p w14:paraId="3F562EC4" w14:textId="77777777" w:rsidR="006F7079" w:rsidRPr="006F7079" w:rsidRDefault="006F7079" w:rsidP="006F7079">
      <w:pPr>
        <w:numPr>
          <w:ilvl w:val="0"/>
          <w:numId w:val="1"/>
        </w:numPr>
        <w:spacing w:before="100" w:beforeAutospacing="1" w:after="100" w:afterAutospacing="1" w:line="390" w:lineRule="atLeast"/>
        <w:ind w:left="225"/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</w:pPr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DIRITTI DI INSTALLAZIONE E UTILIZZO. È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possibile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installare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e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usare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l’App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in </w:t>
      </w:r>
      <w:proofErr w:type="gram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un</w:t>
      </w:r>
      <w:proofErr w:type="gram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dispositivo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Windows o in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dispositivi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associati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all’account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Microsoft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usato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per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accedere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a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Office Store o al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prodotto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Office. Non è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consentito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installare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o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usare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una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copia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dell’App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in </w:t>
      </w:r>
      <w:proofErr w:type="gram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un</w:t>
      </w:r>
      <w:proofErr w:type="gram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dispositivo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di cui non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si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ha la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proprietà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o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il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controllo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.</w:t>
      </w:r>
    </w:p>
    <w:p w14:paraId="684CEFAD" w14:textId="77777777" w:rsidR="006F7079" w:rsidRPr="006F7079" w:rsidRDefault="006F7079" w:rsidP="006F7079">
      <w:pPr>
        <w:numPr>
          <w:ilvl w:val="0"/>
          <w:numId w:val="1"/>
        </w:numPr>
        <w:spacing w:before="100" w:beforeAutospacing="1" w:after="100" w:afterAutospacing="1" w:line="390" w:lineRule="atLeast"/>
        <w:ind w:left="225"/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</w:pPr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SERVIZI BASATI SU INTERNET. Il Provider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dell’app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potrà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fornire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servizi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basati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su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Internet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insieme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all’App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.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Oltre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a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quanto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segue,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l’uso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di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tali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servizi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è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soggetto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alle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condizioni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fornite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all’utente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dal Provider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dell’app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e/o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dall’operatore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di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telefonia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mobile.</w:t>
      </w:r>
    </w:p>
    <w:p w14:paraId="6A93B987" w14:textId="77777777" w:rsidR="006F7079" w:rsidRPr="006F7079" w:rsidRDefault="006F7079" w:rsidP="006F7079">
      <w:pPr>
        <w:numPr>
          <w:ilvl w:val="0"/>
          <w:numId w:val="1"/>
        </w:numPr>
        <w:spacing w:before="100" w:beforeAutospacing="1" w:after="100" w:afterAutospacing="1" w:line="390" w:lineRule="atLeast"/>
        <w:ind w:left="225"/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</w:pP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Consenso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per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servizi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wireless o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basati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su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Internet.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L’App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potrebbe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connettersi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a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sistemi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informatici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tramite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una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rete wireless e/o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basata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su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Internet. In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alcuni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casi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non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vengono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visualizzati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avvisi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separati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al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momento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proofErr w:type="gram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della</w:t>
      </w:r>
      <w:proofErr w:type="spellEnd"/>
      <w:proofErr w:type="gram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connessione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.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L’uso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dell’App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implica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proofErr w:type="gram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il</w:t>
      </w:r>
      <w:proofErr w:type="spellEnd"/>
      <w:proofErr w:type="gram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consenso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dell’utente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alla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trasmissione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di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informazioni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standard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sul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dispositivo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(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tra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cui, a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titolo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esemplificativo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,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informazioni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tecniche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sul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dispositivo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,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sul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software di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sistema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e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applicativo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e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sulle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periferiche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) per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servizi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basati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su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Internet e/o wireless.</w:t>
      </w:r>
    </w:p>
    <w:p w14:paraId="40416FA5" w14:textId="77777777" w:rsidR="006F7079" w:rsidRPr="006F7079" w:rsidRDefault="006F7079" w:rsidP="006F7079">
      <w:pPr>
        <w:numPr>
          <w:ilvl w:val="0"/>
          <w:numId w:val="1"/>
        </w:numPr>
        <w:spacing w:before="100" w:beforeAutospacing="1" w:after="100" w:afterAutospacing="1" w:line="390" w:lineRule="atLeast"/>
        <w:ind w:left="225"/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</w:pPr>
      <w:proofErr w:type="spellStart"/>
      <w:proofErr w:type="gram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Uso</w:t>
      </w:r>
      <w:proofErr w:type="spellEnd"/>
      <w:proofErr w:type="gram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improprio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dei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servizi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basati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su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Internet. </w:t>
      </w:r>
      <w:proofErr w:type="gram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Non è</w:t>
      </w:r>
      <w:proofErr w:type="gram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consentito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usare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servizi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basati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su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Internet in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modo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da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danneggiarli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o da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impedire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ad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altri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di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usare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tali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servizi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o la rete wireless. </w:t>
      </w:r>
      <w:proofErr w:type="gram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Non è</w:t>
      </w:r>
      <w:proofErr w:type="gram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inoltre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possibile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usare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servizi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basati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su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Internet per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tentare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di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ottenere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accesso non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autorizzato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a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servizi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,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dati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, account o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reti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con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qualsiasi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mezzo.</w:t>
      </w:r>
    </w:p>
    <w:p w14:paraId="2964F398" w14:textId="77777777" w:rsidR="006F7079" w:rsidRPr="006F7079" w:rsidRDefault="006F7079" w:rsidP="006F7079">
      <w:pPr>
        <w:numPr>
          <w:ilvl w:val="0"/>
          <w:numId w:val="1"/>
        </w:numPr>
        <w:spacing w:before="100" w:beforeAutospacing="1" w:after="100" w:afterAutospacing="1" w:line="390" w:lineRule="atLeast"/>
        <w:ind w:left="225"/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</w:pPr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AMBITO DI VALIDITÀ DELLA LICENZA.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L’App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gram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non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viene</w:t>
      </w:r>
      <w:proofErr w:type="spellEnd"/>
      <w:proofErr w:type="gram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venduta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, ma è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concessa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in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licenza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. </w:t>
      </w:r>
      <w:proofErr w:type="gram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Il</w:t>
      </w:r>
      <w:proofErr w:type="gram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presente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contratto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concede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all’utente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solo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alcuni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diritti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d’uso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dell’App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. Il Provider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dell’app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si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riserva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tutti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gli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altri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diritti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.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Nel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limite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massimo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consentito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dalla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legge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applicabile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,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l’utente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potrà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usare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l’App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esclusivamente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nei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modi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espressamente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concessi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nel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presente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contratto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. A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questo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scopo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,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l’utente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dovrà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rispettare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qualsiasi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limitazione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tecnica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dell’App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che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ne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consenta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l’uso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secondo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specifiche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modalità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. Non è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consentito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:</w:t>
      </w:r>
    </w:p>
    <w:p w14:paraId="20E1E237" w14:textId="77777777" w:rsidR="006F7079" w:rsidRPr="006F7079" w:rsidRDefault="006F7079" w:rsidP="006F7079">
      <w:pPr>
        <w:numPr>
          <w:ilvl w:val="1"/>
          <w:numId w:val="1"/>
        </w:numPr>
        <w:spacing w:before="100" w:beforeAutospacing="1" w:after="90" w:line="390" w:lineRule="atLeast"/>
        <w:ind w:left="675"/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</w:pP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aggirare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qualsiasi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limitazione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tecnica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dell’App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,</w:t>
      </w:r>
    </w:p>
    <w:p w14:paraId="14B02336" w14:textId="77777777" w:rsidR="006F7079" w:rsidRPr="006F7079" w:rsidRDefault="006F7079" w:rsidP="006F7079">
      <w:pPr>
        <w:numPr>
          <w:ilvl w:val="1"/>
          <w:numId w:val="1"/>
        </w:numPr>
        <w:spacing w:before="100" w:beforeAutospacing="1" w:after="90" w:line="390" w:lineRule="atLeast"/>
        <w:ind w:left="675"/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</w:pP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decodificare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,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decompilare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o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disassemblare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l’App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,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fatta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eccezione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per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casi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in cui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tali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attività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siano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espressamente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consentite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dalla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legge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applicabile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,</w:t>
      </w:r>
    </w:p>
    <w:p w14:paraId="4443902E" w14:textId="77777777" w:rsidR="006F7079" w:rsidRPr="006F7079" w:rsidRDefault="006F7079" w:rsidP="006F7079">
      <w:pPr>
        <w:numPr>
          <w:ilvl w:val="1"/>
          <w:numId w:val="1"/>
        </w:numPr>
        <w:spacing w:before="100" w:beforeAutospacing="1" w:after="90" w:line="390" w:lineRule="atLeast"/>
        <w:ind w:left="675"/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</w:pPr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fare un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numero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di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copie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dell’App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superiore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a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quello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specificato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nel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presente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contratto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o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previsto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dalla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legge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,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nonostante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questa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limitazione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,</w:t>
      </w:r>
    </w:p>
    <w:p w14:paraId="6EFF0C13" w14:textId="77777777" w:rsidR="006F7079" w:rsidRPr="006F7079" w:rsidRDefault="006F7079" w:rsidP="006F7079">
      <w:pPr>
        <w:numPr>
          <w:ilvl w:val="1"/>
          <w:numId w:val="1"/>
        </w:numPr>
        <w:spacing w:before="100" w:beforeAutospacing="1" w:after="90" w:line="390" w:lineRule="atLeast"/>
        <w:ind w:left="675"/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</w:pPr>
      <w:proofErr w:type="spellStart"/>
      <w:proofErr w:type="gram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pubblicare</w:t>
      </w:r>
      <w:proofErr w:type="spellEnd"/>
      <w:proofErr w:type="gram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o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rendere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altrimenti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disponibile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l’App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ad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altri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in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modo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da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consentirne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la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copia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, né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noleggiare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o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prestare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l’App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.</w:t>
      </w:r>
    </w:p>
    <w:p w14:paraId="497F2D29" w14:textId="77777777" w:rsidR="006F7079" w:rsidRPr="006F7079" w:rsidRDefault="006F7079" w:rsidP="006F7079">
      <w:pPr>
        <w:numPr>
          <w:ilvl w:val="0"/>
          <w:numId w:val="1"/>
        </w:numPr>
        <w:spacing w:before="100" w:beforeAutospacing="1" w:after="100" w:afterAutospacing="1" w:line="390" w:lineRule="atLeast"/>
        <w:ind w:left="225"/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</w:pPr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DOCUMENTAZIONE. Se con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l’App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viene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fornita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una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documentazione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, è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possibile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copiare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e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usare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la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documentazione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solo a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scopo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di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riferimento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.</w:t>
      </w:r>
    </w:p>
    <w:p w14:paraId="2EF46C44" w14:textId="77777777" w:rsidR="006F7079" w:rsidRPr="006F7079" w:rsidRDefault="006F7079" w:rsidP="006F7079">
      <w:pPr>
        <w:numPr>
          <w:ilvl w:val="0"/>
          <w:numId w:val="1"/>
        </w:numPr>
        <w:spacing w:before="100" w:beforeAutospacing="1" w:after="100" w:afterAutospacing="1" w:line="390" w:lineRule="atLeast"/>
        <w:ind w:left="225"/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</w:pPr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TECNOLOGIA E RESTRIZIONI ALL’ESPORTAZIONE.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L’App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può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essere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soggetta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alle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leggi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e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alle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norme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internazionali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o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degli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Stati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Uniti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in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merito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all’esportazione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o al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controllo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proofErr w:type="gram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della</w:t>
      </w:r>
      <w:proofErr w:type="spellEnd"/>
      <w:proofErr w:type="gram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tecnologia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.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L’utente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è obbligato a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rispettare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tutte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le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leggi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e le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norme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proofErr w:type="gram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nazionali</w:t>
      </w:r>
      <w:proofErr w:type="spellEnd"/>
      <w:proofErr w:type="gram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e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internazionali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applicabili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alla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tecnologia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usata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,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impiegata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o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supportata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dall’App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.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Tali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leggi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includono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restrizioni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relative a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destinazioni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,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utenti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finali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e </w:t>
      </w:r>
      <w:proofErr w:type="spellStart"/>
      <w:proofErr w:type="gram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uso</w:t>
      </w:r>
      <w:proofErr w:type="spellEnd"/>
      <w:proofErr w:type="gram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finale. Per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informazioni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sull’applicabilità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di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tali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leggi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e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norme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ai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prodotti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a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marchio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Microsoft,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vedere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proofErr w:type="gram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il</w:t>
      </w:r>
      <w:proofErr w:type="spellEnd"/>
      <w:proofErr w:type="gram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sito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all’indirizzo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hyperlink r:id="rId5" w:history="1">
        <w:r w:rsidRPr="006F7079">
          <w:rPr>
            <w:rFonts w:ascii="Times New Roman" w:eastAsia="Times New Roman" w:hAnsi="Times New Roman" w:cs="Times New Roman"/>
            <w:color w:val="0000FF"/>
            <w:sz w:val="26"/>
            <w:szCs w:val="26"/>
            <w:lang w:val="en-US" w:eastAsia="it-IT"/>
          </w:rPr>
          <w:t>www.microsoft.com/exporting</w:t>
        </w:r>
      </w:hyperlink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.</w:t>
      </w:r>
    </w:p>
    <w:p w14:paraId="71EA3588" w14:textId="77777777" w:rsidR="006F7079" w:rsidRPr="006F7079" w:rsidRDefault="006F7079" w:rsidP="006F7079">
      <w:pPr>
        <w:numPr>
          <w:ilvl w:val="0"/>
          <w:numId w:val="1"/>
        </w:numPr>
        <w:spacing w:before="100" w:beforeAutospacing="1" w:after="100" w:afterAutospacing="1" w:line="390" w:lineRule="atLeast"/>
        <w:ind w:left="225"/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</w:pPr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SERVIZI DI SUPPORTO TECNICO.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L’App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viene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fornita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“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così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com’è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”.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Contattare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proofErr w:type="gram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il</w:t>
      </w:r>
      <w:proofErr w:type="spellEnd"/>
      <w:proofErr w:type="gram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Provider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dell’app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per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sapere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se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sono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disponibili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servizi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di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supporto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tecnico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. Microsoft, </w:t>
      </w:r>
      <w:proofErr w:type="spellStart"/>
      <w:proofErr w:type="gram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il</w:t>
      </w:r>
      <w:proofErr w:type="spellEnd"/>
      <w:proofErr w:type="gram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produttore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del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dispositivo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e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l’operatore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di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telefonia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mobile non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sono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obbligati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ai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sensi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del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presente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contratto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a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fornire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servizi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di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supporto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tecnico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per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l’App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. Per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conoscere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la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disponibilità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di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eventuali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servizi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di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supporto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tecnico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,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rivolgersi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al Provider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dell’app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.</w:t>
      </w:r>
    </w:p>
    <w:p w14:paraId="41149186" w14:textId="77777777" w:rsidR="006F7079" w:rsidRPr="006F7079" w:rsidRDefault="006F7079" w:rsidP="006F7079">
      <w:pPr>
        <w:numPr>
          <w:ilvl w:val="0"/>
          <w:numId w:val="1"/>
        </w:numPr>
        <w:spacing w:before="100" w:beforeAutospacing="1" w:after="100" w:afterAutospacing="1" w:line="390" w:lineRule="atLeast"/>
        <w:ind w:left="225"/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</w:pPr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CONTRATTO COMPLETO. </w:t>
      </w:r>
      <w:proofErr w:type="gram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Il</w:t>
      </w:r>
      <w:proofErr w:type="gram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presente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contratto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e le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condizioni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relative a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componenti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integrativi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e aggiornamenti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costituiscono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la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totalità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degli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accordi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in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relazione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all’App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. Se Microsoft è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il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Provider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dell’app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,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questa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sezione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non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può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essere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interpretata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come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modifica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alle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condizioni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del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rapporto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tra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l’utente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e Microsoft in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relazione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a Microsoft Office, Office Store o ad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altri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prodotti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o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servizi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Microsoft,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quali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sono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disciplinati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dalle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apposite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condizioni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di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licenza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del software o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dalle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relative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condizioni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per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l’uso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.</w:t>
      </w:r>
    </w:p>
    <w:p w14:paraId="4D1FA9E8" w14:textId="77777777" w:rsidR="006F7079" w:rsidRPr="006F7079" w:rsidRDefault="006F7079" w:rsidP="006F7079">
      <w:pPr>
        <w:numPr>
          <w:ilvl w:val="0"/>
          <w:numId w:val="1"/>
        </w:numPr>
        <w:spacing w:before="100" w:beforeAutospacing="1" w:after="100" w:afterAutospacing="1" w:line="390" w:lineRule="atLeast"/>
        <w:ind w:left="225"/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</w:pPr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LEGISLAZIONE APPLICABILE.</w:t>
      </w:r>
    </w:p>
    <w:p w14:paraId="52C5F628" w14:textId="77777777" w:rsidR="006F7079" w:rsidRPr="006F7079" w:rsidRDefault="006F7079" w:rsidP="006F7079">
      <w:pPr>
        <w:spacing w:before="204" w:after="204" w:line="390" w:lineRule="atLeast"/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</w:pPr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Per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tutte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le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controversie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che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dovessero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insorgere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in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relazione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al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presente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contratto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,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ivi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comprese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quelle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inerenti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alla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sua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validità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,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interpretazione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,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esecuzione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e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risoluzione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,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unico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foro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competente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a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decidere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in via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esclusiva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sarà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proofErr w:type="gram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il</w:t>
      </w:r>
      <w:proofErr w:type="spellEnd"/>
      <w:proofErr w:type="gram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Tribunale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di Arezzo.  </w:t>
      </w:r>
    </w:p>
    <w:p w14:paraId="0F81444F" w14:textId="77777777" w:rsidR="006F7079" w:rsidRPr="006F7079" w:rsidRDefault="006F7079" w:rsidP="006F7079">
      <w:pPr>
        <w:numPr>
          <w:ilvl w:val="0"/>
          <w:numId w:val="2"/>
        </w:numPr>
        <w:spacing w:before="100" w:beforeAutospacing="1" w:after="100" w:afterAutospacing="1" w:line="390" w:lineRule="atLeast"/>
        <w:ind w:left="225"/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</w:pPr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EFFETTI LEGALI. </w:t>
      </w:r>
      <w:proofErr w:type="gram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Il</w:t>
      </w:r>
      <w:proofErr w:type="gram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presente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contratto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descrive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determinati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diritti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legali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.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L’utente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potrebbe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avere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altri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diritti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ai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sensi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delle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leggi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gram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del</w:t>
      </w:r>
      <w:proofErr w:type="gram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suo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paese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. </w:t>
      </w:r>
      <w:proofErr w:type="gram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Il</w:t>
      </w:r>
      <w:proofErr w:type="gram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presente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contratto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non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modifica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diritti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dell’utente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ai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sensi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delle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leggi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del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suo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paese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qualora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tali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leggi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non lo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consentano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.</w:t>
      </w:r>
    </w:p>
    <w:p w14:paraId="6D265420" w14:textId="77777777" w:rsidR="006F7079" w:rsidRPr="006F7079" w:rsidRDefault="006F7079" w:rsidP="006F7079">
      <w:pPr>
        <w:numPr>
          <w:ilvl w:val="0"/>
          <w:numId w:val="2"/>
        </w:numPr>
        <w:spacing w:before="100" w:beforeAutospacing="1" w:after="100" w:afterAutospacing="1" w:line="390" w:lineRule="atLeast"/>
        <w:ind w:left="225"/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</w:pPr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ESCLUSIONE DI GARANZIA. L’APP È CONCESSA IN LICENZA “COSÌ COM’È”, “CON TUTTI I DIFETTI” E “COME È DISPONIBILE”. L’USO DELL’APP È A RISCHIO ESCLUSIVO DELL’UTENTE. IL PROVIDER DELL’APP, PER CONTO PROPRIO, DI MICROSOFT, DEGLI OPERATORI DI TELEFONIA MOBILE SULLE CUI RETI VIENE DISTRIBUITA L’APP E RELATIVI FORNITORI, CONSOCIATE E AGENTI (“DISTRIBUTORI”), NON FORNISCE GARANZIE O CONDIZIONI ESPLICITE IN RELAZIONE ALL’APP. A SECONDA DELLE LEGGI LOCALI </w:t>
      </w:r>
      <w:proofErr w:type="gram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NON ALTERABILI</w:t>
      </w:r>
      <w:proofErr w:type="gram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DAL PRESENTE CONTRATTO, L’UTENTE POTREBBE DISPORRE DI DIRITTI AGGIUNTIVI. NELLA MISURA MASSIMA CONSENTITA DALLE NORME LOCALI, I DISTRIBUTORI ESCLUDONO OGNI GARANZIA O CONDIZIONE IMPLICITA, TRA CUI QUELLE DI COMMERCIABILITÀ, IDONEITÀ PER UNO SCOPO SPECIFICO O DI NON VIOLAZIONE DI DIRITTI ALTRUI.</w:t>
      </w:r>
    </w:p>
    <w:p w14:paraId="72765020" w14:textId="77777777" w:rsidR="006F7079" w:rsidRPr="006F7079" w:rsidRDefault="006F7079" w:rsidP="006F7079">
      <w:pPr>
        <w:numPr>
          <w:ilvl w:val="0"/>
          <w:numId w:val="2"/>
        </w:numPr>
        <w:spacing w:before="100" w:beforeAutospacing="1" w:after="100" w:afterAutospacing="1" w:line="390" w:lineRule="atLeast"/>
        <w:ind w:left="225"/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</w:pPr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LIMITAZIONI ED ESCLUSIONI DI RIMEDI E DANNI. NELLA MISURA CONSENTITA DALLE NORME VIGENTI, L’UTENTE POTRÀ RICHIEDERE AL PROVIDER DELL’APP SOLO DANNI DIRETTI FINO A UN MASSIMO CORRISPONDENTE ALLA SOMMA PAGATA PER L’APP. L’UTENTE ACCETTA DI NON RICHIEDERE RISARCIMENTI AD ALCUN DISTRIBUZIONE PER QUALSIASI ALTRO DANNO, INCLUSI I DANNI CONSEQUENZIALI, SPECIALI, INDIRETTI O ACCIDENTALI.</w:t>
      </w:r>
    </w:p>
    <w:p w14:paraId="3FECC93F" w14:textId="77777777" w:rsidR="006F7079" w:rsidRPr="006F7079" w:rsidRDefault="006F7079" w:rsidP="006F7079">
      <w:pPr>
        <w:numPr>
          <w:ilvl w:val="0"/>
          <w:numId w:val="2"/>
        </w:numPr>
        <w:spacing w:before="100" w:beforeAutospacing="1" w:after="100" w:afterAutospacing="1" w:line="390" w:lineRule="atLeast"/>
        <w:ind w:left="225"/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</w:pPr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Questa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limitazione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si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applica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a</w:t>
      </w:r>
    </w:p>
    <w:p w14:paraId="79F145D5" w14:textId="77777777" w:rsidR="006F7079" w:rsidRPr="006F7079" w:rsidRDefault="006F7079" w:rsidP="006F7079">
      <w:pPr>
        <w:numPr>
          <w:ilvl w:val="1"/>
          <w:numId w:val="2"/>
        </w:numPr>
        <w:spacing w:before="100" w:beforeAutospacing="1" w:after="90" w:line="390" w:lineRule="atLeast"/>
        <w:ind w:left="675"/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</w:pP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qualsiasi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aspetto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relativo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all’App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,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ai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servizi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resi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disponibili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tramite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l’App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, al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contenuto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(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incluso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il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codice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)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dei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siti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Internet di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terze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parti</w:t>
      </w:r>
      <w:proofErr w:type="spellEnd"/>
    </w:p>
    <w:p w14:paraId="3810F550" w14:textId="77777777" w:rsidR="006F7079" w:rsidRPr="006F7079" w:rsidRDefault="006F7079" w:rsidP="006F7079">
      <w:pPr>
        <w:numPr>
          <w:ilvl w:val="1"/>
          <w:numId w:val="2"/>
        </w:numPr>
        <w:spacing w:before="100" w:beforeAutospacing="1" w:after="90" w:line="390" w:lineRule="atLeast"/>
        <w:ind w:left="675"/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</w:pPr>
      <w:proofErr w:type="spellStart"/>
      <w:proofErr w:type="gram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reclami</w:t>
      </w:r>
      <w:proofErr w:type="spellEnd"/>
      <w:proofErr w:type="gram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per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inadempimento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contrattuale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,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violazioni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di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garanzia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o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delle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condizioni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,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responsabilità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oggettiva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,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negligenza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o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altro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illecito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civile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, in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ogni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caso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nella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misura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massima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consentita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dalla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legislazione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in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vigore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.</w:t>
      </w:r>
    </w:p>
    <w:p w14:paraId="7D9FDE7E" w14:textId="77777777" w:rsidR="006F7079" w:rsidRPr="006F7079" w:rsidRDefault="006F7079" w:rsidP="006F7079">
      <w:pPr>
        <w:numPr>
          <w:ilvl w:val="0"/>
          <w:numId w:val="2"/>
        </w:numPr>
        <w:spacing w:before="100" w:beforeAutospacing="1" w:after="100" w:afterAutospacing="1" w:line="390" w:lineRule="atLeast"/>
        <w:ind w:left="225"/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</w:pPr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La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limitazione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si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applica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anche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nei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casi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seguenti</w:t>
      </w:r>
      <w:proofErr w:type="spellEnd"/>
    </w:p>
    <w:p w14:paraId="79277F35" w14:textId="77777777" w:rsidR="006F7079" w:rsidRPr="006F7079" w:rsidRDefault="006F7079" w:rsidP="006F7079">
      <w:pPr>
        <w:numPr>
          <w:ilvl w:val="1"/>
          <w:numId w:val="2"/>
        </w:numPr>
        <w:spacing w:before="100" w:beforeAutospacing="1" w:after="90" w:line="390" w:lineRule="atLeast"/>
        <w:ind w:left="675"/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</w:pPr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la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riparazione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, la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sostituzione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o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il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rimborso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dell’App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non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compensa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pienamente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l’utente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delle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perdite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subite</w:t>
      </w:r>
      <w:proofErr w:type="spellEnd"/>
    </w:p>
    <w:p w14:paraId="7B4802C5" w14:textId="77777777" w:rsidR="006F7079" w:rsidRPr="006F7079" w:rsidRDefault="006F7079" w:rsidP="006F7079">
      <w:pPr>
        <w:numPr>
          <w:ilvl w:val="1"/>
          <w:numId w:val="2"/>
        </w:numPr>
        <w:spacing w:before="100" w:beforeAutospacing="1" w:after="90" w:line="390" w:lineRule="atLeast"/>
        <w:ind w:left="675"/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</w:pPr>
      <w:proofErr w:type="spellStart"/>
      <w:proofErr w:type="gram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il</w:t>
      </w:r>
      <w:proofErr w:type="spellEnd"/>
      <w:proofErr w:type="gram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distributore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era o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avrebbe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dovuto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essere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a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conoscenza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della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possibilità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di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tali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 xml:space="preserve"> </w:t>
      </w:r>
      <w:proofErr w:type="spellStart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danni</w:t>
      </w:r>
      <w:proofErr w:type="spellEnd"/>
      <w:r w:rsidRPr="006F7079">
        <w:rPr>
          <w:rFonts w:ascii="Catamaran" w:eastAsia="Times New Roman" w:hAnsi="Catamaran" w:cs="Helvetica"/>
          <w:color w:val="333333"/>
          <w:sz w:val="26"/>
          <w:szCs w:val="26"/>
          <w:lang w:val="en-US" w:eastAsia="it-IT"/>
        </w:rPr>
        <w:t>.</w:t>
      </w:r>
    </w:p>
    <w:p w14:paraId="149F3CC6" w14:textId="77777777" w:rsidR="00BF3CAA" w:rsidRDefault="00BF3CAA"/>
    <w:sectPr w:rsidR="00BF3C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tamaran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E09A9"/>
    <w:multiLevelType w:val="multilevel"/>
    <w:tmpl w:val="ADE4A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506F1D"/>
    <w:multiLevelType w:val="multilevel"/>
    <w:tmpl w:val="06D46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79"/>
    <w:rsid w:val="00065786"/>
    <w:rsid w:val="006F7079"/>
    <w:rsid w:val="00BF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7397C"/>
  <w15:chartTrackingRefBased/>
  <w15:docId w15:val="{63DCEE36-9E12-41DE-8354-3BDBDFBF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F7079"/>
    <w:pPr>
      <w:spacing w:before="100" w:beforeAutospacing="1" w:after="210" w:line="264" w:lineRule="atLeast"/>
      <w:outlineLvl w:val="0"/>
    </w:pPr>
    <w:rPr>
      <w:rFonts w:ascii="Catamaran" w:eastAsia="Times New Roman" w:hAnsi="Catamaran" w:cs="Helvetica"/>
      <w:color w:val="666666"/>
      <w:kern w:val="36"/>
      <w:sz w:val="72"/>
      <w:szCs w:val="7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7079"/>
    <w:rPr>
      <w:rFonts w:ascii="Catamaran" w:eastAsia="Times New Roman" w:hAnsi="Catamaran" w:cs="Helvetica"/>
      <w:color w:val="666666"/>
      <w:kern w:val="36"/>
      <w:sz w:val="72"/>
      <w:szCs w:val="72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F7079"/>
    <w:rPr>
      <w:strike w:val="0"/>
      <w:dstrike w:val="0"/>
      <w:color w:val="0000FF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6F7079"/>
    <w:pPr>
      <w:spacing w:before="204" w:after="204" w:line="390" w:lineRule="atLeast"/>
    </w:pPr>
    <w:rPr>
      <w:rFonts w:ascii="Catamaran" w:eastAsia="Times New Roman" w:hAnsi="Catamaran" w:cs="Times New Roman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2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0288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3239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2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91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747236">
                                      <w:marLeft w:val="0"/>
                                      <w:marRight w:val="0"/>
                                      <w:marTop w:val="7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390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.microsoft.com/fwlink/?LinkId=5131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Bucarelli</dc:creator>
  <cp:keywords/>
  <dc:description/>
  <cp:lastModifiedBy>Emanuele Bucarelli</cp:lastModifiedBy>
  <cp:revision>2</cp:revision>
  <dcterms:created xsi:type="dcterms:W3CDTF">2017-09-01T09:27:00Z</dcterms:created>
  <dcterms:modified xsi:type="dcterms:W3CDTF">2017-09-01T09:27:00Z</dcterms:modified>
</cp:coreProperties>
</file>